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1161B1E2" w14:textId="49C2C270" w:rsidR="0037581E" w:rsidRDefault="0037581E" w:rsidP="0037581E">
      <w:pPr>
        <w:rPr>
          <w:rFonts w:ascii="Arial" w:hAnsi="Arial" w:cs="Arial"/>
          <w:b/>
          <w:sz w:val="24"/>
          <w:szCs w:val="24"/>
        </w:rPr>
      </w:pPr>
      <w:bookmarkStart w:id="0" w:name="_Hlk56155553"/>
      <w:r>
        <w:rPr>
          <w:rFonts w:ascii="Arial" w:hAnsi="Arial" w:cs="Arial"/>
          <w:b/>
          <w:sz w:val="24"/>
          <w:szCs w:val="24"/>
        </w:rPr>
        <w:t xml:space="preserve">GENERAL REPORT OF THE MEETING </w:t>
      </w:r>
      <w:r w:rsidR="00DB1978">
        <w:rPr>
          <w:rFonts w:ascii="Arial" w:hAnsi="Arial" w:cs="Arial"/>
          <w:b/>
          <w:sz w:val="24"/>
          <w:szCs w:val="24"/>
        </w:rPr>
        <w:t xml:space="preserve">OF CABINET </w:t>
      </w:r>
      <w:r>
        <w:rPr>
          <w:rFonts w:ascii="Arial" w:hAnsi="Arial" w:cs="Arial"/>
          <w:b/>
          <w:sz w:val="24"/>
          <w:szCs w:val="24"/>
        </w:rPr>
        <w:t xml:space="preserve">HELD ON WEDNESDAY </w:t>
      </w:r>
      <w:r w:rsidR="000D77CC">
        <w:rPr>
          <w:rFonts w:ascii="Arial" w:hAnsi="Arial" w:cs="Arial"/>
          <w:b/>
          <w:sz w:val="24"/>
          <w:szCs w:val="24"/>
        </w:rPr>
        <w:t>16 DECEMBER 2020</w:t>
      </w:r>
    </w:p>
    <w:bookmarkEnd w:id="0"/>
    <w:p w14:paraId="66CFE876" w14:textId="14CD1EDE" w:rsidR="00644C50" w:rsidRDefault="000D77CC" w:rsidP="004110C1">
      <w:pPr>
        <w:rPr>
          <w:rFonts w:ascii="Arial" w:hAnsi="Arial" w:cs="Arial"/>
          <w:b/>
          <w:sz w:val="24"/>
          <w:szCs w:val="24"/>
        </w:rPr>
      </w:pPr>
      <w:r>
        <w:rPr>
          <w:rFonts w:ascii="Arial" w:hAnsi="Arial" w:cs="Arial"/>
          <w:b/>
          <w:sz w:val="24"/>
          <w:szCs w:val="24"/>
        </w:rPr>
        <w:t>Refresh of Communications Strategy</w:t>
      </w:r>
    </w:p>
    <w:p w14:paraId="41027965" w14:textId="77777777" w:rsidR="00580D38" w:rsidRPr="00580D38" w:rsidRDefault="004110C1" w:rsidP="001E46F0">
      <w:pPr>
        <w:pStyle w:val="ListParagraph"/>
        <w:keepNext/>
        <w:numPr>
          <w:ilvl w:val="0"/>
          <w:numId w:val="1"/>
        </w:numPr>
        <w:spacing w:after="0" w:line="252" w:lineRule="auto"/>
        <w:rPr>
          <w:rFonts w:ascii="Arial" w:eastAsia="Times New Roman" w:hAnsi="Arial" w:cs="Arial"/>
          <w:b/>
          <w:lang w:eastAsia="en-GB"/>
        </w:rPr>
      </w:pPr>
      <w:r w:rsidRPr="00580D38">
        <w:rPr>
          <w:rFonts w:ascii="Arial" w:hAnsi="Arial" w:cs="Arial"/>
          <w:sz w:val="24"/>
          <w:szCs w:val="24"/>
        </w:rPr>
        <w:t>Cabinet a</w:t>
      </w:r>
      <w:r w:rsidR="000D77CC" w:rsidRPr="00580D38">
        <w:rPr>
          <w:rFonts w:ascii="Arial" w:hAnsi="Arial" w:cs="Arial"/>
          <w:sz w:val="24"/>
          <w:szCs w:val="24"/>
        </w:rPr>
        <w:t xml:space="preserve">pproved a new Communications Strategy, </w:t>
      </w:r>
      <w:r w:rsidR="00580D38" w:rsidRPr="00580D38">
        <w:rPr>
          <w:rFonts w:ascii="Arial" w:hAnsi="Arial" w:cs="Arial"/>
          <w:sz w:val="24"/>
          <w:szCs w:val="24"/>
        </w:rPr>
        <w:t xml:space="preserve">which </w:t>
      </w:r>
      <w:r w:rsidR="000D77CC" w:rsidRPr="00580D38">
        <w:rPr>
          <w:rFonts w:ascii="Arial" w:eastAsia="Times New Roman" w:hAnsi="Arial" w:cs="Times New Roman"/>
          <w:sz w:val="24"/>
          <w:szCs w:val="24"/>
          <w:lang w:eastAsia="en-GB"/>
        </w:rPr>
        <w:t xml:space="preserve">was one of the actions outlined in the annual governance statement. </w:t>
      </w:r>
      <w:r w:rsidR="00580D38" w:rsidRPr="00580D38">
        <w:rPr>
          <w:rFonts w:ascii="Arial" w:eastAsia="Times New Roman" w:hAnsi="Arial" w:cs="Times New Roman"/>
          <w:sz w:val="24"/>
          <w:szCs w:val="24"/>
          <w:lang w:eastAsia="en-GB"/>
        </w:rPr>
        <w:t>Cabinet</w:t>
      </w:r>
      <w:r w:rsidR="000D77CC" w:rsidRPr="00580D38">
        <w:rPr>
          <w:rFonts w:ascii="Arial" w:eastAsia="Times New Roman" w:hAnsi="Arial" w:cs="Times New Roman"/>
          <w:sz w:val="24"/>
          <w:szCs w:val="24"/>
          <w:lang w:eastAsia="en-GB"/>
        </w:rPr>
        <w:t xml:space="preserve"> ha</w:t>
      </w:r>
      <w:r w:rsidR="00580D38" w:rsidRPr="00580D38">
        <w:rPr>
          <w:rFonts w:ascii="Arial" w:eastAsia="Times New Roman" w:hAnsi="Arial" w:cs="Times New Roman"/>
          <w:sz w:val="24"/>
          <w:szCs w:val="24"/>
          <w:lang w:eastAsia="en-GB"/>
        </w:rPr>
        <w:t>d</w:t>
      </w:r>
      <w:r w:rsidR="000D77CC" w:rsidRPr="00580D38">
        <w:rPr>
          <w:rFonts w:ascii="Arial" w:eastAsia="Times New Roman" w:hAnsi="Arial" w:cs="Times New Roman"/>
          <w:sz w:val="24"/>
          <w:szCs w:val="24"/>
          <w:lang w:eastAsia="en-GB"/>
        </w:rPr>
        <w:t xml:space="preserve"> al</w:t>
      </w:r>
      <w:r w:rsidR="000D77CC" w:rsidRPr="00580D38">
        <w:rPr>
          <w:rFonts w:ascii="Arial" w:eastAsia="Times New Roman" w:hAnsi="Arial" w:cs="Times New Roman"/>
          <w:bCs/>
          <w:sz w:val="24"/>
          <w:szCs w:val="24"/>
          <w:lang w:eastAsia="en-GB"/>
        </w:rPr>
        <w:t>so taken the opportunity to update the media protocol to provide more clarity for officers.</w:t>
      </w:r>
    </w:p>
    <w:p w14:paraId="742DF6B9" w14:textId="41E67425" w:rsidR="000D77CC" w:rsidRPr="00580D38" w:rsidRDefault="000D77CC" w:rsidP="001E46F0">
      <w:pPr>
        <w:pStyle w:val="ListParagraph"/>
        <w:keepNext/>
        <w:numPr>
          <w:ilvl w:val="0"/>
          <w:numId w:val="1"/>
        </w:numPr>
        <w:spacing w:after="0" w:line="252" w:lineRule="auto"/>
        <w:rPr>
          <w:rFonts w:ascii="Arial" w:eastAsia="Times New Roman" w:hAnsi="Arial" w:cs="Arial"/>
          <w:b/>
          <w:lang w:eastAsia="en-GB"/>
        </w:rPr>
      </w:pPr>
      <w:r w:rsidRPr="00580D38">
        <w:rPr>
          <w:rFonts w:ascii="Arial" w:eastAsia="Times New Roman" w:hAnsi="Arial" w:cs="Arial"/>
          <w:sz w:val="24"/>
          <w:szCs w:val="24"/>
          <w:lang w:eastAsia="en-GB"/>
        </w:rPr>
        <w:t xml:space="preserve">The detail of the Strategy was formed as part of a review of the Communications Team over the summer. There were various approaches to how </w:t>
      </w:r>
      <w:proofErr w:type="spellStart"/>
      <w:r w:rsidR="00580D38" w:rsidRPr="00580D38">
        <w:rPr>
          <w:rFonts w:ascii="Arial" w:eastAsia="Times New Roman" w:hAnsi="Arial" w:cs="Arial"/>
          <w:sz w:val="24"/>
          <w:szCs w:val="24"/>
          <w:lang w:eastAsia="en-GB"/>
        </w:rPr>
        <w:t>the</w:t>
      </w:r>
      <w:proofErr w:type="spellEnd"/>
      <w:r w:rsidR="00580D38" w:rsidRPr="00580D38">
        <w:rPr>
          <w:rFonts w:ascii="Arial" w:eastAsia="Times New Roman" w:hAnsi="Arial" w:cs="Arial"/>
          <w:sz w:val="24"/>
          <w:szCs w:val="24"/>
          <w:lang w:eastAsia="en-GB"/>
        </w:rPr>
        <w:t xml:space="preserve"> Council</w:t>
      </w:r>
      <w:r w:rsidRPr="00580D38">
        <w:rPr>
          <w:rFonts w:ascii="Arial" w:eastAsia="Times New Roman" w:hAnsi="Arial" w:cs="Arial"/>
          <w:sz w:val="24"/>
          <w:szCs w:val="24"/>
          <w:lang w:eastAsia="en-GB"/>
        </w:rPr>
        <w:t xml:space="preserve"> would develop </w:t>
      </w:r>
      <w:r w:rsidR="00580D38" w:rsidRPr="00580D38">
        <w:rPr>
          <w:rFonts w:ascii="Arial" w:eastAsia="Times New Roman" w:hAnsi="Arial" w:cs="Arial"/>
          <w:sz w:val="24"/>
          <w:szCs w:val="24"/>
          <w:lang w:eastAsia="en-GB"/>
        </w:rPr>
        <w:t>its</w:t>
      </w:r>
      <w:r w:rsidRPr="00580D38">
        <w:rPr>
          <w:rFonts w:ascii="Arial" w:eastAsia="Times New Roman" w:hAnsi="Arial" w:cs="Arial"/>
          <w:sz w:val="24"/>
          <w:szCs w:val="24"/>
          <w:lang w:eastAsia="en-GB"/>
        </w:rPr>
        <w:t xml:space="preserve"> communications included in the Strategy. </w:t>
      </w:r>
    </w:p>
    <w:p w14:paraId="732F64DE" w14:textId="77777777" w:rsidR="00580D38" w:rsidRDefault="00580D38" w:rsidP="00580D38">
      <w:pPr>
        <w:ind w:left="141"/>
        <w:rPr>
          <w:rFonts w:ascii="Arial" w:hAnsi="Arial" w:cs="Arial"/>
          <w:b/>
          <w:sz w:val="24"/>
          <w:szCs w:val="24"/>
        </w:rPr>
      </w:pPr>
    </w:p>
    <w:p w14:paraId="7CB649EE" w14:textId="415C4B99" w:rsidR="00580D38" w:rsidRPr="00124C30" w:rsidRDefault="00580D38" w:rsidP="00B61C4F">
      <w:pPr>
        <w:ind w:left="141"/>
        <w:rPr>
          <w:rFonts w:ascii="Arial" w:hAnsi="Arial" w:cs="Arial"/>
          <w:b/>
          <w:sz w:val="24"/>
          <w:szCs w:val="24"/>
        </w:rPr>
      </w:pPr>
      <w:r w:rsidRPr="00580D38">
        <w:rPr>
          <w:rFonts w:ascii="Arial" w:hAnsi="Arial" w:cs="Arial"/>
          <w:b/>
          <w:sz w:val="24"/>
          <w:szCs w:val="24"/>
        </w:rPr>
        <w:t>Next Steps Accommodation Programme</w:t>
      </w:r>
    </w:p>
    <w:p w14:paraId="16BAD2C6" w14:textId="77777777" w:rsidR="00B61C4F" w:rsidRPr="00B61C4F" w:rsidRDefault="00124C30" w:rsidP="000551F0">
      <w:pPr>
        <w:pStyle w:val="ListParagraph"/>
        <w:keepNext/>
        <w:numPr>
          <w:ilvl w:val="0"/>
          <w:numId w:val="1"/>
        </w:numPr>
        <w:spacing w:after="0" w:line="252" w:lineRule="auto"/>
        <w:rPr>
          <w:rFonts w:ascii="Arial" w:eastAsia="Times New Roman" w:hAnsi="Arial" w:cs="Times New Roman"/>
          <w:lang w:eastAsia="en-GB"/>
        </w:rPr>
      </w:pPr>
      <w:r w:rsidRPr="00B61C4F">
        <w:rPr>
          <w:rFonts w:ascii="Arial" w:hAnsi="Arial" w:cs="Arial"/>
          <w:sz w:val="24"/>
          <w:szCs w:val="24"/>
        </w:rPr>
        <w:t>C</w:t>
      </w:r>
      <w:r w:rsidR="004110C1" w:rsidRPr="00B61C4F">
        <w:rPr>
          <w:rFonts w:ascii="Arial" w:hAnsi="Arial" w:cs="Arial"/>
          <w:sz w:val="24"/>
          <w:szCs w:val="24"/>
        </w:rPr>
        <w:t>abin</w:t>
      </w:r>
      <w:r w:rsidR="00580D38" w:rsidRPr="00B61C4F">
        <w:rPr>
          <w:rFonts w:ascii="Arial" w:hAnsi="Arial" w:cs="Arial"/>
          <w:sz w:val="24"/>
          <w:szCs w:val="24"/>
        </w:rPr>
        <w:t xml:space="preserve">et approved </w:t>
      </w:r>
      <w:r w:rsidR="00580D38" w:rsidRPr="00B61C4F">
        <w:rPr>
          <w:rFonts w:ascii="Arial" w:eastAsia="Times New Roman" w:hAnsi="Arial" w:cs="Arial"/>
          <w:sz w:val="24"/>
          <w:szCs w:val="24"/>
          <w:lang w:eastAsia="en-GB"/>
        </w:rPr>
        <w:t>the expenditure of £70,000 capital from section 106 money, specifically from the monies allocated for Housing</w:t>
      </w:r>
      <w:r w:rsidR="00580D38" w:rsidRPr="00B61C4F">
        <w:rPr>
          <w:rFonts w:ascii="Arial" w:eastAsia="Times New Roman" w:hAnsi="Arial" w:cs="Arial"/>
          <w:sz w:val="24"/>
          <w:szCs w:val="24"/>
          <w:lang w:eastAsia="en-GB"/>
        </w:rPr>
        <w:t xml:space="preserve">, which will </w:t>
      </w:r>
      <w:r w:rsidR="00580D38" w:rsidRPr="00B61C4F">
        <w:rPr>
          <w:rFonts w:ascii="Arial" w:hAnsi="Arial" w:cs="Arial"/>
          <w:sz w:val="24"/>
          <w:szCs w:val="24"/>
        </w:rPr>
        <w:t>enable the Council to support the Next Steps Accommodation bid.</w:t>
      </w:r>
      <w:r w:rsidR="00B61C4F" w:rsidRPr="00B61C4F">
        <w:rPr>
          <w:rFonts w:ascii="Arial" w:hAnsi="Arial" w:cs="Arial"/>
          <w:sz w:val="24"/>
          <w:szCs w:val="24"/>
        </w:rPr>
        <w:t xml:space="preserve"> </w:t>
      </w:r>
    </w:p>
    <w:p w14:paraId="296E9822" w14:textId="2D55F012" w:rsidR="00580D38" w:rsidRPr="00B61C4F" w:rsidRDefault="00580D38" w:rsidP="000551F0">
      <w:pPr>
        <w:pStyle w:val="ListParagraph"/>
        <w:keepNext/>
        <w:numPr>
          <w:ilvl w:val="0"/>
          <w:numId w:val="1"/>
        </w:numPr>
        <w:spacing w:after="0" w:line="252" w:lineRule="auto"/>
        <w:rPr>
          <w:rFonts w:ascii="Arial" w:eastAsia="Times New Roman" w:hAnsi="Arial" w:cs="Times New Roman"/>
          <w:lang w:eastAsia="en-GB"/>
        </w:rPr>
      </w:pPr>
      <w:r w:rsidRPr="00B61C4F">
        <w:rPr>
          <w:rFonts w:ascii="Arial" w:eastAsia="Times New Roman" w:hAnsi="Arial" w:cs="Times New Roman"/>
          <w:sz w:val="24"/>
          <w:szCs w:val="24"/>
          <w:lang w:eastAsia="en-GB"/>
        </w:rPr>
        <w:t>Cabinet also approved</w:t>
      </w:r>
      <w:r w:rsidRPr="00580D38">
        <w:rPr>
          <w:rFonts w:ascii="Arial" w:eastAsia="Times New Roman" w:hAnsi="Arial" w:cs="Times New Roman"/>
          <w:sz w:val="24"/>
          <w:szCs w:val="24"/>
          <w:lang w:eastAsia="en-GB"/>
        </w:rPr>
        <w:t xml:space="preserve"> partnership working with </w:t>
      </w:r>
      <w:r w:rsidRPr="00B61C4F">
        <w:rPr>
          <w:rFonts w:ascii="Arial" w:eastAsia="Times New Roman" w:hAnsi="Arial" w:cs="Times New Roman"/>
          <w:sz w:val="24"/>
          <w:szCs w:val="24"/>
          <w:lang w:eastAsia="en-GB"/>
        </w:rPr>
        <w:t xml:space="preserve">the </w:t>
      </w:r>
      <w:r w:rsidRPr="00580D38">
        <w:rPr>
          <w:rFonts w:ascii="Arial" w:eastAsia="Times New Roman" w:hAnsi="Arial" w:cs="Times New Roman"/>
          <w:sz w:val="24"/>
          <w:szCs w:val="24"/>
          <w:lang w:eastAsia="en-GB"/>
        </w:rPr>
        <w:t>Progress Housing Association to deliver this proposal</w:t>
      </w:r>
      <w:r w:rsidRPr="00B61C4F">
        <w:rPr>
          <w:rFonts w:ascii="Arial" w:eastAsia="Times New Roman" w:hAnsi="Arial" w:cs="Times New Roman"/>
          <w:sz w:val="24"/>
          <w:szCs w:val="24"/>
          <w:lang w:eastAsia="en-GB"/>
        </w:rPr>
        <w:t xml:space="preserve">. </w:t>
      </w:r>
      <w:r w:rsidRPr="00580D38">
        <w:rPr>
          <w:rFonts w:ascii="Arial" w:eastAsia="Times New Roman" w:hAnsi="Arial" w:cs="Times New Roman"/>
          <w:sz w:val="24"/>
          <w:szCs w:val="24"/>
          <w:lang w:eastAsia="en-GB"/>
        </w:rPr>
        <w:t>T</w:t>
      </w:r>
      <w:r w:rsidRPr="00B61C4F">
        <w:rPr>
          <w:rFonts w:ascii="Arial" w:eastAsia="Times New Roman" w:hAnsi="Arial" w:cs="Times New Roman"/>
          <w:sz w:val="24"/>
          <w:szCs w:val="24"/>
          <w:lang w:eastAsia="en-GB"/>
        </w:rPr>
        <w:t xml:space="preserve">his enabled the </w:t>
      </w:r>
      <w:r w:rsidRPr="00580D38">
        <w:rPr>
          <w:rFonts w:ascii="Arial" w:eastAsia="Times New Roman" w:hAnsi="Arial" w:cs="Times New Roman"/>
          <w:sz w:val="24"/>
          <w:szCs w:val="24"/>
          <w:lang w:eastAsia="en-GB"/>
        </w:rPr>
        <w:t>Council to work in partnership with Progress Housing Group to deliver 2 specific units of accommodation to house individuals at risk of rough sleeping, and to provide the support required to sustain that accommodation.</w:t>
      </w:r>
    </w:p>
    <w:p w14:paraId="54E79EDB" w14:textId="7BF880DC" w:rsidR="00B61C4F" w:rsidRDefault="00B61C4F" w:rsidP="00B61C4F">
      <w:pPr>
        <w:keepNext/>
        <w:spacing w:after="0" w:line="252" w:lineRule="auto"/>
        <w:rPr>
          <w:rFonts w:ascii="Arial" w:eastAsia="Times New Roman" w:hAnsi="Arial" w:cs="Times New Roman"/>
          <w:lang w:eastAsia="en-GB"/>
        </w:rPr>
      </w:pPr>
    </w:p>
    <w:p w14:paraId="5A4A5CAE" w14:textId="77777777" w:rsidR="00B61C4F" w:rsidRPr="00CF6B62" w:rsidRDefault="00B61C4F" w:rsidP="00B61C4F">
      <w:pPr>
        <w:pStyle w:val="ListParagraph"/>
        <w:ind w:left="501"/>
        <w:rPr>
          <w:rFonts w:ascii="Arial" w:hAnsi="Arial" w:cs="Arial"/>
          <w:b/>
          <w:bCs/>
          <w:sz w:val="24"/>
          <w:szCs w:val="24"/>
        </w:rPr>
      </w:pPr>
      <w:r>
        <w:rPr>
          <w:rFonts w:ascii="Arial" w:hAnsi="Arial" w:cs="Arial"/>
          <w:b/>
          <w:bCs/>
          <w:sz w:val="24"/>
          <w:szCs w:val="24"/>
        </w:rPr>
        <w:t>Infrastructure Funding Statement</w:t>
      </w:r>
    </w:p>
    <w:p w14:paraId="04C6F479" w14:textId="77777777" w:rsidR="00B61C4F" w:rsidRPr="00B61C4F" w:rsidRDefault="00B61C4F" w:rsidP="00B61C4F">
      <w:pPr>
        <w:keepNext/>
        <w:spacing w:after="0" w:line="252" w:lineRule="auto"/>
        <w:rPr>
          <w:rFonts w:ascii="Arial" w:eastAsia="Times New Roman" w:hAnsi="Arial" w:cs="Times New Roman"/>
          <w:lang w:eastAsia="en-GB"/>
        </w:rPr>
      </w:pPr>
    </w:p>
    <w:p w14:paraId="0E819D9C" w14:textId="77777777" w:rsidR="00B61C4F" w:rsidRPr="00B61C4F" w:rsidRDefault="00B61C4F" w:rsidP="00073D5D">
      <w:pPr>
        <w:keepNext/>
        <w:numPr>
          <w:ilvl w:val="0"/>
          <w:numId w:val="1"/>
        </w:numPr>
        <w:spacing w:after="0" w:line="240" w:lineRule="auto"/>
        <w:contextualSpacing/>
        <w:jc w:val="both"/>
        <w:rPr>
          <w:rFonts w:ascii="Arial" w:eastAsia="Calibri" w:hAnsi="Arial" w:cs="Times New Roman"/>
          <w:sz w:val="24"/>
        </w:rPr>
      </w:pPr>
      <w:r w:rsidRPr="00B61C4F">
        <w:rPr>
          <w:rFonts w:ascii="Arial" w:eastAsia="Times New Roman" w:hAnsi="Arial" w:cs="Times New Roman"/>
          <w:sz w:val="24"/>
          <w:szCs w:val="24"/>
          <w:lang w:eastAsia="en-GB"/>
        </w:rPr>
        <w:t>Cabinet approve</w:t>
      </w:r>
      <w:r w:rsidRPr="00B61C4F">
        <w:rPr>
          <w:rFonts w:ascii="Arial" w:eastAsia="Times New Roman" w:hAnsi="Arial" w:cs="Times New Roman"/>
          <w:sz w:val="24"/>
          <w:szCs w:val="24"/>
          <w:lang w:eastAsia="en-GB"/>
        </w:rPr>
        <w:t>d</w:t>
      </w:r>
      <w:r w:rsidRPr="00B61C4F">
        <w:rPr>
          <w:rFonts w:ascii="Arial" w:eastAsia="Times New Roman" w:hAnsi="Arial" w:cs="Times New Roman"/>
          <w:sz w:val="24"/>
          <w:szCs w:val="24"/>
          <w:lang w:eastAsia="en-GB"/>
        </w:rPr>
        <w:t xml:space="preserve"> the Infrastructure Funding Statement for display on the Council website for the next year.</w:t>
      </w:r>
      <w:r w:rsidRPr="00B61C4F">
        <w:rPr>
          <w:rFonts w:ascii="Arial" w:eastAsia="Times New Roman" w:hAnsi="Arial" w:cs="Times New Roman"/>
          <w:sz w:val="24"/>
          <w:szCs w:val="24"/>
          <w:lang w:eastAsia="en-GB"/>
        </w:rPr>
        <w:t xml:space="preserve"> It also requested that the </w:t>
      </w:r>
      <w:r w:rsidRPr="00B61C4F">
        <w:rPr>
          <w:rFonts w:ascii="Arial" w:eastAsia="Times New Roman" w:hAnsi="Arial" w:cs="Times New Roman"/>
          <w:sz w:val="24"/>
          <w:szCs w:val="24"/>
          <w:lang w:eastAsia="en-GB"/>
        </w:rPr>
        <w:t>Director of Planning and Property prepare a policy for spending Developer Contributions</w:t>
      </w:r>
      <w:r w:rsidRPr="00B61C4F">
        <w:rPr>
          <w:rFonts w:ascii="Arial" w:eastAsia="Times New Roman" w:hAnsi="Arial" w:cs="Times New Roman"/>
          <w:sz w:val="24"/>
          <w:szCs w:val="24"/>
          <w:lang w:eastAsia="en-GB"/>
        </w:rPr>
        <w:t xml:space="preserve">. </w:t>
      </w:r>
    </w:p>
    <w:p w14:paraId="73313A29" w14:textId="54BEA4F4" w:rsidR="00B61C4F" w:rsidRPr="00B61C4F" w:rsidRDefault="00B61C4F" w:rsidP="008C48C4">
      <w:pPr>
        <w:keepNext/>
        <w:numPr>
          <w:ilvl w:val="0"/>
          <w:numId w:val="1"/>
        </w:numPr>
        <w:spacing w:after="0" w:line="240" w:lineRule="auto"/>
        <w:contextualSpacing/>
        <w:jc w:val="both"/>
        <w:rPr>
          <w:rFonts w:ascii="Arial" w:eastAsia="Calibri" w:hAnsi="Arial" w:cs="Times New Roman"/>
          <w:sz w:val="24"/>
        </w:rPr>
      </w:pPr>
      <w:r w:rsidRPr="00B61C4F">
        <w:rPr>
          <w:rFonts w:ascii="Arial" w:eastAsia="Times New Roman" w:hAnsi="Arial" w:cs="Times New Roman"/>
          <w:sz w:val="24"/>
          <w:szCs w:val="24"/>
          <w:lang w:eastAsia="en-GB"/>
        </w:rPr>
        <w:t xml:space="preserve">The statement </w:t>
      </w:r>
      <w:r w:rsidRPr="00B61C4F">
        <w:rPr>
          <w:rFonts w:ascii="Arial" w:eastAsia="Times New Roman" w:hAnsi="Arial" w:cs="Times New Roman"/>
          <w:sz w:val="24"/>
          <w:szCs w:val="24"/>
          <w:lang w:eastAsia="en-GB"/>
        </w:rPr>
        <w:t>replace</w:t>
      </w:r>
      <w:r w:rsidRPr="00B61C4F">
        <w:rPr>
          <w:rFonts w:ascii="Arial" w:eastAsia="Times New Roman" w:hAnsi="Arial" w:cs="Times New Roman"/>
          <w:sz w:val="24"/>
          <w:szCs w:val="24"/>
          <w:lang w:eastAsia="en-GB"/>
        </w:rPr>
        <w:t>d</w:t>
      </w:r>
      <w:r w:rsidRPr="00B61C4F">
        <w:rPr>
          <w:rFonts w:ascii="Arial" w:eastAsia="Times New Roman" w:hAnsi="Arial" w:cs="Times New Roman"/>
          <w:sz w:val="24"/>
          <w:szCs w:val="24"/>
          <w:lang w:eastAsia="en-GB"/>
        </w:rPr>
        <w:t xml:space="preserve"> the current regulation 123 list that ha</w:t>
      </w:r>
      <w:r w:rsidRPr="00B61C4F">
        <w:rPr>
          <w:rFonts w:ascii="Arial" w:eastAsia="Times New Roman" w:hAnsi="Arial" w:cs="Times New Roman"/>
          <w:sz w:val="24"/>
          <w:szCs w:val="24"/>
          <w:lang w:eastAsia="en-GB"/>
        </w:rPr>
        <w:t>d</w:t>
      </w:r>
      <w:r w:rsidRPr="00B61C4F">
        <w:rPr>
          <w:rFonts w:ascii="Arial" w:eastAsia="Times New Roman" w:hAnsi="Arial" w:cs="Times New Roman"/>
          <w:sz w:val="24"/>
          <w:szCs w:val="24"/>
          <w:lang w:eastAsia="en-GB"/>
        </w:rPr>
        <w:t xml:space="preserve"> been in place since the adoption of Community infrastructure Levy (CIL) in July 2013.</w:t>
      </w:r>
      <w:r w:rsidRPr="00B61C4F">
        <w:rPr>
          <w:rFonts w:ascii="Arial" w:eastAsia="Times New Roman" w:hAnsi="Arial" w:cs="Times New Roman"/>
          <w:sz w:val="24"/>
          <w:szCs w:val="24"/>
          <w:lang w:eastAsia="en-GB"/>
        </w:rPr>
        <w:t xml:space="preserve"> </w:t>
      </w:r>
      <w:r w:rsidRPr="00B61C4F">
        <w:rPr>
          <w:rFonts w:ascii="Arial" w:eastAsia="Calibri" w:hAnsi="Arial" w:cs="Times New Roman"/>
          <w:sz w:val="24"/>
        </w:rPr>
        <w:t xml:space="preserve">It </w:t>
      </w:r>
      <w:r w:rsidRPr="00B61C4F">
        <w:rPr>
          <w:rFonts w:ascii="Arial" w:eastAsia="Calibri" w:hAnsi="Arial" w:cs="Times New Roman"/>
          <w:sz w:val="24"/>
        </w:rPr>
        <w:t>was</w:t>
      </w:r>
      <w:r w:rsidRPr="00B61C4F">
        <w:rPr>
          <w:rFonts w:ascii="Arial" w:eastAsia="Calibri" w:hAnsi="Arial" w:cs="Times New Roman"/>
          <w:sz w:val="24"/>
        </w:rPr>
        <w:t xml:space="preserve"> a requirement to publish an infrastructure funding statement annually by 31st December.</w:t>
      </w:r>
    </w:p>
    <w:p w14:paraId="46349514" w14:textId="6A522A67" w:rsidR="00B61C4F" w:rsidRPr="00B61C4F" w:rsidRDefault="00B61C4F" w:rsidP="00B61C4F">
      <w:pPr>
        <w:pStyle w:val="ListParagraph"/>
        <w:numPr>
          <w:ilvl w:val="0"/>
          <w:numId w:val="1"/>
        </w:numPr>
        <w:spacing w:after="0" w:line="240" w:lineRule="auto"/>
        <w:rPr>
          <w:rFonts w:ascii="Arial" w:eastAsia="Times New Roman" w:hAnsi="Arial" w:cs="Arial"/>
          <w:b/>
          <w:sz w:val="24"/>
          <w:szCs w:val="24"/>
          <w:lang w:eastAsia="en-GB"/>
        </w:rPr>
      </w:pPr>
      <w:r w:rsidRPr="00B61C4F">
        <w:rPr>
          <w:rFonts w:ascii="Arial" w:hAnsi="Arial" w:cs="Arial"/>
          <w:bCs/>
          <w:sz w:val="24"/>
          <w:szCs w:val="24"/>
        </w:rPr>
        <w:t>The Regulation 123 List was a requirement in the CIL Regulations whereby a Charging Authority was required to display a list of projects that would be either funded in part or wholly by CIL</w:t>
      </w:r>
      <w:r>
        <w:rPr>
          <w:rFonts w:ascii="Arial" w:hAnsi="Arial" w:cs="Arial"/>
          <w:bCs/>
          <w:sz w:val="24"/>
          <w:szCs w:val="24"/>
        </w:rPr>
        <w:t>.</w:t>
      </w:r>
    </w:p>
    <w:p w14:paraId="6A47F648" w14:textId="482E9C6F" w:rsidR="00B61C4F" w:rsidRPr="00B61C4F" w:rsidRDefault="00B61C4F" w:rsidP="00B61C4F">
      <w:pPr>
        <w:pStyle w:val="ListParagraph"/>
        <w:keepNext/>
        <w:numPr>
          <w:ilvl w:val="0"/>
          <w:numId w:val="1"/>
        </w:numPr>
        <w:spacing w:after="0" w:line="240" w:lineRule="auto"/>
        <w:outlineLvl w:val="0"/>
        <w:rPr>
          <w:rFonts w:ascii="Arial" w:eastAsia="Times New Roman" w:hAnsi="Arial" w:cs="Arial"/>
          <w:sz w:val="24"/>
          <w:szCs w:val="24"/>
          <w:lang w:eastAsia="en-GB"/>
        </w:rPr>
      </w:pPr>
      <w:r w:rsidRPr="00B61C4F">
        <w:rPr>
          <w:rFonts w:ascii="Arial" w:hAnsi="Arial" w:cs="Arial"/>
          <w:sz w:val="24"/>
          <w:szCs w:val="24"/>
        </w:rPr>
        <w:t xml:space="preserve">In addition to the CIL infrastructure list </w:t>
      </w:r>
      <w:r w:rsidR="002267A0">
        <w:rPr>
          <w:rFonts w:ascii="Arial" w:hAnsi="Arial" w:cs="Arial"/>
          <w:sz w:val="24"/>
          <w:szCs w:val="24"/>
        </w:rPr>
        <w:t>the Statement</w:t>
      </w:r>
      <w:r w:rsidRPr="00B61C4F">
        <w:rPr>
          <w:rFonts w:ascii="Arial" w:hAnsi="Arial" w:cs="Arial"/>
          <w:sz w:val="24"/>
          <w:szCs w:val="24"/>
        </w:rPr>
        <w:t xml:space="preserve"> also provides a financial summary setting out developer contribution receipts, allocations, expenditure and any unspent or unallocated receipts collected from section 106 agreements and CIL</w:t>
      </w:r>
      <w:r w:rsidR="002267A0">
        <w:rPr>
          <w:rFonts w:ascii="Arial" w:hAnsi="Arial" w:cs="Arial"/>
          <w:sz w:val="24"/>
          <w:szCs w:val="24"/>
        </w:rPr>
        <w:t>.</w:t>
      </w:r>
    </w:p>
    <w:p w14:paraId="35515AE3" w14:textId="77777777" w:rsidR="00580D38" w:rsidRPr="00580D38" w:rsidRDefault="00580D38" w:rsidP="002267A0">
      <w:pPr>
        <w:spacing w:after="0" w:line="240" w:lineRule="auto"/>
        <w:ind w:left="501"/>
        <w:contextualSpacing/>
        <w:rPr>
          <w:rFonts w:ascii="Arial" w:eastAsia="Times New Roman" w:hAnsi="Arial" w:cs="Arial"/>
          <w:sz w:val="24"/>
          <w:szCs w:val="24"/>
          <w:lang w:eastAsia="en-GB"/>
        </w:rPr>
      </w:pPr>
    </w:p>
    <w:p w14:paraId="740B856B" w14:textId="77777777" w:rsidR="00580D38" w:rsidRPr="00580D38" w:rsidRDefault="00580D38" w:rsidP="00580D38">
      <w:pPr>
        <w:spacing w:after="0" w:line="240" w:lineRule="auto"/>
        <w:ind w:left="720"/>
        <w:contextualSpacing/>
        <w:rPr>
          <w:rFonts w:ascii="Arial" w:eastAsia="Times New Roman" w:hAnsi="Arial" w:cs="Times New Roman"/>
          <w:sz w:val="24"/>
          <w:szCs w:val="24"/>
          <w:lang w:eastAsia="en-GB"/>
        </w:rPr>
      </w:pPr>
    </w:p>
    <w:p w14:paraId="1C5EEA01" w14:textId="288C5854" w:rsidR="000D2E0A" w:rsidRPr="002267A0" w:rsidRDefault="000D2E0A" w:rsidP="002267A0">
      <w:pPr>
        <w:rPr>
          <w:rFonts w:ascii="Arial" w:hAnsi="Arial" w:cs="Arial"/>
          <w:b/>
          <w:sz w:val="24"/>
          <w:szCs w:val="24"/>
        </w:rPr>
      </w:pPr>
    </w:p>
    <w:p w14:paraId="5A5FE84C" w14:textId="2C5F914A" w:rsidR="00CF6B62" w:rsidRDefault="00CF6B62" w:rsidP="00CF6B62">
      <w:pPr>
        <w:pStyle w:val="ListParagraph"/>
        <w:ind w:left="501"/>
        <w:rPr>
          <w:rFonts w:ascii="Arial" w:hAnsi="Arial" w:cs="Arial"/>
          <w:sz w:val="24"/>
          <w:szCs w:val="24"/>
        </w:rPr>
      </w:pPr>
    </w:p>
    <w:p w14:paraId="04C91CA2" w14:textId="6C37C043" w:rsidR="00CF6B62" w:rsidRPr="002267A0" w:rsidRDefault="002267A0" w:rsidP="002267A0">
      <w:pPr>
        <w:rPr>
          <w:rFonts w:ascii="Arial" w:hAnsi="Arial" w:cs="Arial"/>
          <w:b/>
          <w:bCs/>
          <w:sz w:val="24"/>
          <w:szCs w:val="24"/>
        </w:rPr>
      </w:pPr>
      <w:r>
        <w:rPr>
          <w:rFonts w:ascii="Arial" w:hAnsi="Arial" w:cs="Arial"/>
          <w:b/>
          <w:bCs/>
          <w:sz w:val="24"/>
          <w:szCs w:val="24"/>
        </w:rPr>
        <w:lastRenderedPageBreak/>
        <w:t>Pearson House, Station Road, Bamber Bridge</w:t>
      </w:r>
    </w:p>
    <w:p w14:paraId="0420652A" w14:textId="77777777" w:rsidR="00CA6BDC" w:rsidRDefault="00CA6BDC" w:rsidP="00CF6B62">
      <w:pPr>
        <w:pStyle w:val="ListParagraph"/>
        <w:ind w:left="501"/>
        <w:rPr>
          <w:rFonts w:ascii="Arial" w:hAnsi="Arial" w:cs="Arial"/>
          <w:b/>
          <w:bCs/>
          <w:sz w:val="24"/>
          <w:szCs w:val="24"/>
        </w:rPr>
      </w:pPr>
    </w:p>
    <w:p w14:paraId="3106F0EB" w14:textId="5D0E73E2" w:rsidR="002267A0" w:rsidRPr="002267A0" w:rsidRDefault="002267A0" w:rsidP="002267A0">
      <w:pPr>
        <w:pStyle w:val="ListParagraph"/>
        <w:numPr>
          <w:ilvl w:val="0"/>
          <w:numId w:val="1"/>
        </w:numPr>
        <w:spacing w:after="0" w:line="240" w:lineRule="auto"/>
        <w:rPr>
          <w:rFonts w:ascii="Arial" w:eastAsia="Times New Roman" w:hAnsi="Arial" w:cs="Times New Roman"/>
          <w:b/>
          <w:bCs/>
          <w:sz w:val="24"/>
          <w:szCs w:val="24"/>
          <w:lang w:eastAsia="en-GB"/>
        </w:rPr>
      </w:pPr>
      <w:r>
        <w:rPr>
          <w:rFonts w:ascii="Arial" w:eastAsia="Times New Roman" w:hAnsi="Arial" w:cs="Times New Roman"/>
          <w:sz w:val="24"/>
          <w:szCs w:val="24"/>
          <w:lang w:eastAsia="en-GB"/>
        </w:rPr>
        <w:t>S</w:t>
      </w:r>
      <w:r w:rsidRPr="002267A0">
        <w:rPr>
          <w:rFonts w:ascii="Arial" w:eastAsia="Times New Roman" w:hAnsi="Arial" w:cs="Times New Roman"/>
          <w:sz w:val="24"/>
          <w:szCs w:val="24"/>
          <w:lang w:eastAsia="en-GB"/>
        </w:rPr>
        <w:t xml:space="preserve">ubject to clearance from the street naming and numbering process, </w:t>
      </w:r>
      <w:r>
        <w:rPr>
          <w:rFonts w:ascii="Arial" w:eastAsia="Times New Roman" w:hAnsi="Arial" w:cs="Times New Roman"/>
          <w:sz w:val="24"/>
          <w:szCs w:val="24"/>
          <w:lang w:eastAsia="en-GB"/>
        </w:rPr>
        <w:t xml:space="preserve">Cabinet approved the renaming of </w:t>
      </w:r>
      <w:r w:rsidRPr="002267A0">
        <w:rPr>
          <w:rFonts w:ascii="Arial" w:eastAsia="Times New Roman" w:hAnsi="Arial" w:cs="Times New Roman"/>
          <w:sz w:val="24"/>
          <w:szCs w:val="24"/>
          <w:lang w:eastAsia="en-GB"/>
        </w:rPr>
        <w:t xml:space="preserve">Pearson House </w:t>
      </w:r>
      <w:r>
        <w:rPr>
          <w:rFonts w:ascii="Arial" w:eastAsia="Times New Roman" w:hAnsi="Arial" w:cs="Times New Roman"/>
          <w:sz w:val="24"/>
          <w:szCs w:val="24"/>
          <w:lang w:eastAsia="en-GB"/>
        </w:rPr>
        <w:t xml:space="preserve">to </w:t>
      </w:r>
      <w:r w:rsidRPr="002267A0">
        <w:rPr>
          <w:rFonts w:ascii="Arial" w:eastAsia="Times New Roman" w:hAnsi="Arial" w:cs="Times New Roman"/>
          <w:sz w:val="24"/>
          <w:szCs w:val="24"/>
          <w:lang w:eastAsia="en-GB"/>
        </w:rPr>
        <w:t>Tom Hanson House</w:t>
      </w:r>
      <w:r w:rsidRPr="002267A0">
        <w:rPr>
          <w:rFonts w:ascii="Arial" w:eastAsia="Times New Roman" w:hAnsi="Arial" w:cs="Times New Roman"/>
          <w:b/>
          <w:bCs/>
          <w:sz w:val="24"/>
          <w:szCs w:val="24"/>
          <w:lang w:eastAsia="en-GB"/>
        </w:rPr>
        <w:t>.</w:t>
      </w:r>
    </w:p>
    <w:p w14:paraId="016C7599" w14:textId="4F1BE0FD" w:rsidR="002267A0" w:rsidRPr="002267A0" w:rsidRDefault="002267A0" w:rsidP="002267A0">
      <w:pPr>
        <w:pStyle w:val="ListParagraph"/>
        <w:keepNext/>
        <w:numPr>
          <w:ilvl w:val="0"/>
          <w:numId w:val="1"/>
        </w:numPr>
        <w:spacing w:after="0" w:line="240" w:lineRule="auto"/>
        <w:rPr>
          <w:rFonts w:ascii="Arial" w:eastAsia="Times New Roman" w:hAnsi="Arial" w:cs="Times New Roman"/>
          <w:lang w:eastAsia="en-GB"/>
        </w:rPr>
      </w:pPr>
      <w:r w:rsidRPr="002267A0">
        <w:rPr>
          <w:rFonts w:ascii="Arial" w:eastAsia="Times New Roman" w:hAnsi="Arial" w:cs="Times New Roman"/>
          <w:sz w:val="24"/>
          <w:szCs w:val="24"/>
          <w:lang w:eastAsia="en-GB"/>
        </w:rPr>
        <w:t xml:space="preserve">The redevelopment of Pearson House is currently ongoing and due to complete in 2021 with handover to Community Gateway on a lease arrangement. Local ward members requested a change in the name of the property to honour former Borough Councillor Tom Hanson. </w:t>
      </w:r>
      <w:r w:rsidRPr="002267A0">
        <w:rPr>
          <w:rFonts w:ascii="Arial" w:eastAsia="Times New Roman" w:hAnsi="Arial" w:cs="Times New Roman"/>
          <w:sz w:val="24"/>
          <w:szCs w:val="24"/>
          <w:lang w:eastAsia="en-GB"/>
        </w:rPr>
        <w:tab/>
      </w:r>
    </w:p>
    <w:p w14:paraId="4802771A" w14:textId="074BC978" w:rsidR="00CA6BDC" w:rsidRPr="002267A0" w:rsidRDefault="00CA6BDC" w:rsidP="002267A0">
      <w:pPr>
        <w:keepNext/>
        <w:spacing w:line="252" w:lineRule="auto"/>
        <w:ind w:left="141"/>
        <w:outlineLvl w:val="0"/>
        <w:rPr>
          <w:rFonts w:ascii="Arial" w:eastAsia="Calibri" w:hAnsi="Arial" w:cs="Times New Roman"/>
          <w:b/>
        </w:rPr>
      </w:pPr>
    </w:p>
    <w:p w14:paraId="3CCA6D9C" w14:textId="10C7818A" w:rsidR="00BC7F7F" w:rsidRDefault="002267A0" w:rsidP="00E728C9">
      <w:pPr>
        <w:rPr>
          <w:rFonts w:ascii="Arial" w:hAnsi="Arial" w:cs="Arial"/>
          <w:b/>
          <w:sz w:val="24"/>
          <w:szCs w:val="24"/>
        </w:rPr>
      </w:pPr>
      <w:r>
        <w:rPr>
          <w:rFonts w:ascii="Arial" w:hAnsi="Arial" w:cs="Arial"/>
          <w:b/>
          <w:sz w:val="24"/>
          <w:szCs w:val="24"/>
        </w:rPr>
        <w:t>Worden Hall Pr</w:t>
      </w:r>
      <w:r w:rsidR="00E728C9">
        <w:rPr>
          <w:rFonts w:ascii="Arial" w:hAnsi="Arial" w:cs="Arial"/>
          <w:b/>
          <w:sz w:val="24"/>
          <w:szCs w:val="24"/>
        </w:rPr>
        <w:t xml:space="preserve">oject </w:t>
      </w:r>
    </w:p>
    <w:p w14:paraId="52E86651" w14:textId="68DD4701" w:rsidR="007D4DFB" w:rsidRPr="007D4DFB" w:rsidRDefault="007D4DFB" w:rsidP="00194DDC">
      <w:pPr>
        <w:pStyle w:val="ListParagraph"/>
        <w:numPr>
          <w:ilvl w:val="0"/>
          <w:numId w:val="1"/>
        </w:numPr>
        <w:spacing w:after="0" w:line="240" w:lineRule="auto"/>
        <w:rPr>
          <w:rFonts w:ascii="Arial" w:eastAsia="Times New Roman" w:hAnsi="Arial" w:cs="Times New Roman"/>
          <w:sz w:val="24"/>
          <w:szCs w:val="24"/>
          <w:lang w:eastAsia="en-GB"/>
        </w:rPr>
      </w:pPr>
      <w:r w:rsidRPr="007D4DFB">
        <w:rPr>
          <w:rFonts w:ascii="Arial" w:eastAsia="Times New Roman" w:hAnsi="Arial" w:cs="Times New Roman"/>
          <w:sz w:val="24"/>
          <w:szCs w:val="24"/>
          <w:lang w:eastAsia="en-GB"/>
        </w:rPr>
        <w:t xml:space="preserve">Cabinet gave its </w:t>
      </w:r>
      <w:r w:rsidRPr="007D4DFB">
        <w:rPr>
          <w:rFonts w:ascii="Arial" w:eastAsia="Times New Roman" w:hAnsi="Arial" w:cs="Times New Roman"/>
          <w:sz w:val="24"/>
          <w:szCs w:val="24"/>
          <w:lang w:eastAsia="en-GB"/>
        </w:rPr>
        <w:t xml:space="preserve">approval for the next stage of the </w:t>
      </w:r>
      <w:r w:rsidRPr="007D4DFB">
        <w:rPr>
          <w:rFonts w:ascii="Arial" w:eastAsia="Times New Roman" w:hAnsi="Arial" w:cs="Times New Roman"/>
          <w:sz w:val="24"/>
          <w:szCs w:val="24"/>
          <w:lang w:eastAsia="en-GB"/>
        </w:rPr>
        <w:t xml:space="preserve">Worden Hall </w:t>
      </w:r>
      <w:r w:rsidRPr="007D4DFB">
        <w:rPr>
          <w:rFonts w:ascii="Arial" w:eastAsia="Times New Roman" w:hAnsi="Arial" w:cs="Times New Roman"/>
          <w:sz w:val="24"/>
          <w:szCs w:val="24"/>
          <w:lang w:eastAsia="en-GB"/>
        </w:rPr>
        <w:t xml:space="preserve">project which </w:t>
      </w:r>
      <w:r w:rsidRPr="007D4DFB">
        <w:rPr>
          <w:rFonts w:ascii="Arial" w:eastAsia="Times New Roman" w:hAnsi="Arial" w:cs="Times New Roman"/>
          <w:sz w:val="24"/>
          <w:szCs w:val="24"/>
          <w:lang w:eastAsia="en-GB"/>
        </w:rPr>
        <w:t>included</w:t>
      </w:r>
      <w:r w:rsidRPr="007D4DFB">
        <w:rPr>
          <w:rFonts w:ascii="Arial" w:eastAsia="Times New Roman" w:hAnsi="Arial" w:cs="Times New Roman"/>
          <w:sz w:val="24"/>
          <w:szCs w:val="24"/>
          <w:lang w:eastAsia="en-GB"/>
        </w:rPr>
        <w:t xml:space="preserve"> </w:t>
      </w:r>
      <w:r w:rsidRPr="007D4DFB">
        <w:rPr>
          <w:rFonts w:ascii="Arial" w:eastAsia="Times New Roman" w:hAnsi="Arial" w:cs="Times New Roman"/>
          <w:sz w:val="24"/>
          <w:szCs w:val="24"/>
          <w:lang w:eastAsia="en-GB"/>
        </w:rPr>
        <w:t>delegating authority to</w:t>
      </w:r>
      <w:r w:rsidRPr="007D4DFB">
        <w:rPr>
          <w:rFonts w:ascii="Arial" w:eastAsia="Times New Roman" w:hAnsi="Arial" w:cs="Times New Roman"/>
          <w:sz w:val="24"/>
          <w:szCs w:val="24"/>
          <w:lang w:eastAsia="en-GB"/>
        </w:rPr>
        <w:t xml:space="preserve"> the Cabinet Member (Finance, Property and Assets) in consultation with the Chief Executive to commence a procurement exercise to identify a contractor and professional services to implement the Worden Hall Project.</w:t>
      </w:r>
    </w:p>
    <w:p w14:paraId="4D6060DF" w14:textId="4CFB5F4A" w:rsidR="007D4DFB" w:rsidRPr="007D4DFB" w:rsidRDefault="007D4DFB" w:rsidP="00DA4C78">
      <w:pPr>
        <w:pStyle w:val="ListParagraph"/>
        <w:numPr>
          <w:ilvl w:val="0"/>
          <w:numId w:val="1"/>
        </w:numPr>
        <w:spacing w:after="0" w:line="240" w:lineRule="auto"/>
        <w:outlineLvl w:val="0"/>
        <w:rPr>
          <w:rFonts w:ascii="Arial" w:eastAsia="Times New Roman" w:hAnsi="Arial" w:cs="Times New Roman"/>
          <w:b/>
          <w:bCs/>
          <w:sz w:val="24"/>
          <w:szCs w:val="24"/>
          <w:lang w:eastAsia="en-GB"/>
        </w:rPr>
      </w:pPr>
      <w:r w:rsidRPr="007D4DFB">
        <w:rPr>
          <w:rFonts w:ascii="Arial" w:eastAsia="Calibri" w:hAnsi="Arial" w:cs="Times New Roman"/>
          <w:sz w:val="24"/>
          <w:szCs w:val="24"/>
        </w:rPr>
        <w:t>Cabinet welcome</w:t>
      </w:r>
      <w:r w:rsidRPr="007D4DFB">
        <w:rPr>
          <w:rFonts w:ascii="Arial" w:eastAsia="Calibri" w:hAnsi="Arial" w:cs="Times New Roman"/>
          <w:sz w:val="24"/>
          <w:szCs w:val="24"/>
        </w:rPr>
        <w:t>d</w:t>
      </w:r>
      <w:r w:rsidRPr="007D4DFB">
        <w:rPr>
          <w:rFonts w:ascii="Arial" w:eastAsia="Calibri" w:hAnsi="Arial" w:cs="Times New Roman"/>
          <w:sz w:val="24"/>
          <w:szCs w:val="24"/>
        </w:rPr>
        <w:t xml:space="preserve"> the progress of the Worden Hall project and note</w:t>
      </w:r>
      <w:r w:rsidRPr="007D4DFB">
        <w:rPr>
          <w:rFonts w:ascii="Arial" w:eastAsia="Calibri" w:hAnsi="Arial" w:cs="Times New Roman"/>
          <w:sz w:val="24"/>
          <w:szCs w:val="24"/>
        </w:rPr>
        <w:t>d</w:t>
      </w:r>
      <w:r w:rsidRPr="007D4DFB">
        <w:rPr>
          <w:rFonts w:ascii="Arial" w:eastAsia="Calibri" w:hAnsi="Arial" w:cs="Times New Roman"/>
          <w:sz w:val="24"/>
          <w:szCs w:val="24"/>
        </w:rPr>
        <w:t xml:space="preserve"> the formal submission of the project to Planning</w:t>
      </w:r>
      <w:r w:rsidRPr="007D4DFB">
        <w:rPr>
          <w:rFonts w:ascii="Arial" w:eastAsia="Calibri" w:hAnsi="Arial" w:cs="Times New Roman"/>
          <w:sz w:val="24"/>
          <w:szCs w:val="24"/>
        </w:rPr>
        <w:t xml:space="preserve">. It requested that </w:t>
      </w:r>
      <w:r w:rsidRPr="007D4DFB">
        <w:rPr>
          <w:rFonts w:ascii="Arial" w:eastAsia="Calibri" w:hAnsi="Arial" w:cs="Times New Roman"/>
          <w:sz w:val="24"/>
          <w:szCs w:val="24"/>
        </w:rPr>
        <w:t>a further report be brought back to Cabinet outlining proposals as to how the refurbished Worden Hall w</w:t>
      </w:r>
      <w:r w:rsidRPr="007D4DFB">
        <w:rPr>
          <w:rFonts w:ascii="Arial" w:eastAsia="Calibri" w:hAnsi="Arial" w:cs="Times New Roman"/>
          <w:sz w:val="24"/>
          <w:szCs w:val="24"/>
        </w:rPr>
        <w:t xml:space="preserve">ould </w:t>
      </w:r>
      <w:r w:rsidRPr="007D4DFB">
        <w:rPr>
          <w:rFonts w:ascii="Arial" w:eastAsia="Calibri" w:hAnsi="Arial" w:cs="Times New Roman"/>
          <w:sz w:val="24"/>
          <w:szCs w:val="24"/>
        </w:rPr>
        <w:t>be run in the future to the benefit of all including local communities and visitors alike.</w:t>
      </w:r>
    </w:p>
    <w:p w14:paraId="51981A83" w14:textId="48065634" w:rsidR="007D4DFB" w:rsidRPr="007D4DFB" w:rsidRDefault="007D4DFB" w:rsidP="007D4DFB">
      <w:pPr>
        <w:pStyle w:val="ListParagraph"/>
        <w:numPr>
          <w:ilvl w:val="0"/>
          <w:numId w:val="1"/>
        </w:numPr>
        <w:spacing w:after="0" w:line="252" w:lineRule="auto"/>
        <w:outlineLvl w:val="0"/>
        <w:rPr>
          <w:rFonts w:ascii="Arial" w:eastAsia="Times New Roman" w:hAnsi="Arial" w:cs="Times New Roman"/>
          <w:sz w:val="24"/>
          <w:szCs w:val="24"/>
          <w:lang w:eastAsia="en-GB"/>
        </w:rPr>
      </w:pPr>
      <w:r w:rsidRPr="007D4DFB">
        <w:rPr>
          <w:rFonts w:ascii="Arial" w:eastAsia="Times New Roman" w:hAnsi="Arial" w:cs="Times New Roman"/>
          <w:sz w:val="24"/>
          <w:szCs w:val="24"/>
          <w:lang w:eastAsia="en-GB"/>
        </w:rPr>
        <w:t>The rationale behind the decision was to identify the most effective way forward both in terms of best value and deliverability in taking the Worden Hall project through to completion. This was about have the right level of professional services in place to support the Council in tendering for and managing the construction phase of the project.</w:t>
      </w:r>
    </w:p>
    <w:p w14:paraId="0A687F86" w14:textId="1B464091" w:rsidR="007D4DFB" w:rsidRPr="007D4DFB" w:rsidRDefault="007D4DFB" w:rsidP="007D4DFB">
      <w:pPr>
        <w:pStyle w:val="ListParagraph"/>
        <w:numPr>
          <w:ilvl w:val="0"/>
          <w:numId w:val="1"/>
        </w:numPr>
        <w:spacing w:after="0" w:line="252" w:lineRule="auto"/>
        <w:outlineLvl w:val="0"/>
        <w:rPr>
          <w:rFonts w:ascii="Arial" w:eastAsia="Times New Roman" w:hAnsi="Arial" w:cs="Times New Roman"/>
          <w:sz w:val="24"/>
          <w:szCs w:val="24"/>
          <w:lang w:eastAsia="en-GB"/>
        </w:rPr>
      </w:pPr>
      <w:bookmarkStart w:id="1" w:name="_GoBack"/>
      <w:bookmarkEnd w:id="1"/>
      <w:r w:rsidRPr="007D4DFB">
        <w:rPr>
          <w:rFonts w:ascii="Arial" w:eastAsia="Times New Roman" w:hAnsi="Arial" w:cs="Times New Roman"/>
          <w:sz w:val="24"/>
          <w:szCs w:val="24"/>
          <w:lang w:eastAsia="en-GB"/>
        </w:rPr>
        <w:t>This is an exciting project which will transform the look of Worden Hall. The proposals outlined will allow the ambitions of the Worden Hall project to be realised which is for the hall to be re-born as the vibrant heart of Worden Park enabling a hive of community activity, drawing local residents and visitors from across the region to the Park and hosting a myriad of local events.</w:t>
      </w:r>
    </w:p>
    <w:p w14:paraId="65F0EE3A" w14:textId="77777777" w:rsidR="007D4DFB" w:rsidRPr="007D4DFB" w:rsidRDefault="007D4DFB" w:rsidP="007D4DFB">
      <w:pPr>
        <w:spacing w:after="0" w:line="252" w:lineRule="auto"/>
        <w:outlineLvl w:val="0"/>
        <w:rPr>
          <w:rFonts w:ascii="Arial" w:eastAsia="Times New Roman" w:hAnsi="Arial" w:cs="Times New Roman"/>
          <w:sz w:val="24"/>
          <w:szCs w:val="24"/>
          <w:lang w:eastAsia="en-GB"/>
        </w:rPr>
      </w:pPr>
    </w:p>
    <w:p w14:paraId="79CFE20E" w14:textId="37203C81" w:rsidR="00DB1978" w:rsidRDefault="00DB1978" w:rsidP="00CA6376">
      <w:pPr>
        <w:rPr>
          <w:rFonts w:ascii="Arial" w:hAnsi="Arial" w:cs="Arial"/>
          <w:b/>
          <w:bCs/>
          <w:sz w:val="24"/>
          <w:szCs w:val="24"/>
        </w:rPr>
      </w:pPr>
    </w:p>
    <w:p w14:paraId="6FD38464" w14:textId="77777777" w:rsidR="002B3E08" w:rsidRPr="002B3E08" w:rsidRDefault="002B3E08" w:rsidP="002B3E08">
      <w:pPr>
        <w:pStyle w:val="ListParagraph"/>
        <w:rPr>
          <w:rFonts w:ascii="Arial" w:eastAsia="Calibri" w:hAnsi="Arial" w:cs="Arial"/>
          <w:sz w:val="24"/>
          <w:szCs w:val="24"/>
        </w:rPr>
      </w:pPr>
    </w:p>
    <w:p w14:paraId="448830AB" w14:textId="1233EBFC" w:rsidR="004473E2" w:rsidRPr="004E2A53" w:rsidRDefault="004473E2" w:rsidP="004E2A53">
      <w:pPr>
        <w:keepNext/>
        <w:spacing w:line="240" w:lineRule="auto"/>
        <w:outlineLvl w:val="0"/>
        <w:rPr>
          <w:rFonts w:ascii="Arial" w:eastAsia="Calibri" w:hAnsi="Arial" w:cs="Arial"/>
          <w:sz w:val="24"/>
          <w:szCs w:val="24"/>
        </w:rPr>
      </w:pPr>
      <w:r w:rsidRPr="004E2A53">
        <w:rPr>
          <w:rFonts w:ascii="Arial" w:eastAsia="Calibri" w:hAnsi="Arial" w:cs="Arial"/>
          <w:sz w:val="24"/>
          <w:szCs w:val="24"/>
        </w:rPr>
        <w:t>COUNCILLOR PAUL FOSTER</w:t>
      </w:r>
    </w:p>
    <w:p w14:paraId="2A3D0996" w14:textId="30251713" w:rsidR="0037581E" w:rsidRPr="0037581E" w:rsidRDefault="004473E2" w:rsidP="00AA3274">
      <w:pPr>
        <w:spacing w:after="0" w:line="276" w:lineRule="auto"/>
        <w:rPr>
          <w:rFonts w:ascii="Arial" w:hAnsi="Arial" w:cs="Arial"/>
          <w:sz w:val="24"/>
          <w:szCs w:val="24"/>
        </w:rPr>
      </w:pPr>
      <w:r>
        <w:rPr>
          <w:rFonts w:ascii="Arial" w:eastAsia="Calibri" w:hAnsi="Arial" w:cs="Arial"/>
          <w:sz w:val="24"/>
          <w:szCs w:val="24"/>
        </w:rPr>
        <w:t>LEADER OF THE COUNCIL</w:t>
      </w:r>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 w15:restartNumberingAfterBreak="0">
    <w:nsid w:val="335F0147"/>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65F61"/>
    <w:multiLevelType w:val="hybridMultilevel"/>
    <w:tmpl w:val="BF969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0756758"/>
    <w:multiLevelType w:val="hybridMultilevel"/>
    <w:tmpl w:val="6372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0B61AD"/>
    <w:multiLevelType w:val="hybridMultilevel"/>
    <w:tmpl w:val="4544D29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AD2767"/>
    <w:multiLevelType w:val="hybridMultilevel"/>
    <w:tmpl w:val="3F9A413E"/>
    <w:lvl w:ilvl="0" w:tplc="98100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55D55"/>
    <w:multiLevelType w:val="hybridMultilevel"/>
    <w:tmpl w:val="5790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8252CC4"/>
    <w:multiLevelType w:val="hybridMultilevel"/>
    <w:tmpl w:val="CEB20634"/>
    <w:lvl w:ilvl="0" w:tplc="4D4C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10EAE"/>
    <w:multiLevelType w:val="hybridMultilevel"/>
    <w:tmpl w:val="DC6A671A"/>
    <w:lvl w:ilvl="0" w:tplc="2ED2A044">
      <w:start w:val="1"/>
      <w:numFmt w:val="decimal"/>
      <w:lvlText w:val="%1."/>
      <w:lvlJc w:val="left"/>
      <w:pPr>
        <w:ind w:left="1152" w:hanging="360"/>
      </w:pPr>
      <w:rPr>
        <w:rFonts w:ascii="Arial" w:eastAsiaTheme="minorHAnsi" w:hAnsi="Arial" w:cs="Arial" w:hint="default"/>
        <w:color w:val="auto"/>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7A992409"/>
    <w:multiLevelType w:val="hybridMultilevel"/>
    <w:tmpl w:val="AA5C2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A99240A"/>
    <w:multiLevelType w:val="hybridMultilevel"/>
    <w:tmpl w:val="83107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A99240B"/>
    <w:multiLevelType w:val="hybridMultilevel"/>
    <w:tmpl w:val="7706B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99240C"/>
    <w:multiLevelType w:val="hybridMultilevel"/>
    <w:tmpl w:val="DFE4A8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E9457D1"/>
    <w:multiLevelType w:val="hybridMultilevel"/>
    <w:tmpl w:val="9DAAFFC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D2E0A"/>
    <w:rsid w:val="000D77CC"/>
    <w:rsid w:val="000E13D5"/>
    <w:rsid w:val="000E74BB"/>
    <w:rsid w:val="00124C30"/>
    <w:rsid w:val="001547C1"/>
    <w:rsid w:val="0015774B"/>
    <w:rsid w:val="001B2EEC"/>
    <w:rsid w:val="00221D32"/>
    <w:rsid w:val="002267A0"/>
    <w:rsid w:val="0024149D"/>
    <w:rsid w:val="002B3E08"/>
    <w:rsid w:val="00325A9C"/>
    <w:rsid w:val="003332EA"/>
    <w:rsid w:val="0037581E"/>
    <w:rsid w:val="003B0469"/>
    <w:rsid w:val="004110C1"/>
    <w:rsid w:val="0043775C"/>
    <w:rsid w:val="004473E2"/>
    <w:rsid w:val="004919DC"/>
    <w:rsid w:val="004D5C05"/>
    <w:rsid w:val="004E1CA1"/>
    <w:rsid w:val="004E2A53"/>
    <w:rsid w:val="004F55DE"/>
    <w:rsid w:val="0051502E"/>
    <w:rsid w:val="00525B9F"/>
    <w:rsid w:val="0053206E"/>
    <w:rsid w:val="00553A63"/>
    <w:rsid w:val="00565DD6"/>
    <w:rsid w:val="00580D38"/>
    <w:rsid w:val="00644C50"/>
    <w:rsid w:val="00650A47"/>
    <w:rsid w:val="00684099"/>
    <w:rsid w:val="007B558E"/>
    <w:rsid w:val="007D4DFB"/>
    <w:rsid w:val="00851535"/>
    <w:rsid w:val="008769DE"/>
    <w:rsid w:val="00907954"/>
    <w:rsid w:val="00A015A2"/>
    <w:rsid w:val="00A90AAF"/>
    <w:rsid w:val="00AA3274"/>
    <w:rsid w:val="00AB0C3C"/>
    <w:rsid w:val="00B008BC"/>
    <w:rsid w:val="00B61C4F"/>
    <w:rsid w:val="00BC7F7F"/>
    <w:rsid w:val="00C541D7"/>
    <w:rsid w:val="00CA6376"/>
    <w:rsid w:val="00CA6BDC"/>
    <w:rsid w:val="00CB6B5B"/>
    <w:rsid w:val="00CC4960"/>
    <w:rsid w:val="00CD13F2"/>
    <w:rsid w:val="00CF6B62"/>
    <w:rsid w:val="00D404C3"/>
    <w:rsid w:val="00DB1978"/>
    <w:rsid w:val="00DB5BCA"/>
    <w:rsid w:val="00DE7562"/>
    <w:rsid w:val="00E47F21"/>
    <w:rsid w:val="00E621B9"/>
    <w:rsid w:val="00E728C9"/>
    <w:rsid w:val="00EA2886"/>
    <w:rsid w:val="00F22635"/>
    <w:rsid w:val="00F7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4</cp:revision>
  <dcterms:created xsi:type="dcterms:W3CDTF">2021-01-14T14:37:00Z</dcterms:created>
  <dcterms:modified xsi:type="dcterms:W3CDTF">2021-01-14T17:02:00Z</dcterms:modified>
</cp:coreProperties>
</file>